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napToGrid w:val="0"/>
        <w:spacing w:before="156" w:beforeLines="50" w:beforeAutospacing="0" w:after="156" w:afterLines="50" w:afterAutospacing="0" w:line="450" w:lineRule="atLeast"/>
        <w:ind w:left="0" w:right="0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2023年第一批燃气燃烧器具安装维修企业资质审查意见的</w:t>
      </w:r>
      <w:r>
        <w:rPr>
          <w:rFonts w:hint="eastAsia" w:ascii="黑体" w:hAnsi="黑体" w:eastAsia="黑体"/>
          <w:sz w:val="44"/>
          <w:szCs w:val="44"/>
        </w:rPr>
        <w:t>公示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根据住房城乡建设部《建筑业企业资质管理规定》（住房城乡建设部令第22号）、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《关于燃气燃烧器具安装维修资质有关规定的通知》（建城[2007]250号）和省住房和城乡建设厅《关于实施燃气燃烧器具安装维修企业资质管理有关事项的通知》（苏建城[2008]15号）</w:t>
      </w:r>
      <w:r>
        <w:rPr>
          <w:rFonts w:hint="eastAsia" w:ascii="仿宋" w:hAnsi="仿宋" w:eastAsia="仿宋"/>
          <w:sz w:val="30"/>
          <w:szCs w:val="30"/>
        </w:rPr>
        <w:t>，我局对近期申请的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燃气燃烧器具安装维修企业</w:t>
      </w:r>
      <w:r>
        <w:rPr>
          <w:rFonts w:hint="eastAsia" w:ascii="仿宋" w:hAnsi="仿宋" w:eastAsia="仿宋"/>
          <w:sz w:val="30"/>
          <w:szCs w:val="30"/>
        </w:rPr>
        <w:t>申报材料进行了审查，现将审查意见予以公示。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一、公示时间：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</w:rPr>
        <w:t>至20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日。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二、申请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燃气燃烧器具安装维修企业</w:t>
      </w:r>
      <w:r>
        <w:rPr>
          <w:rFonts w:hint="eastAsia" w:ascii="仿宋" w:hAnsi="仿宋" w:eastAsia="仿宋"/>
          <w:sz w:val="30"/>
          <w:szCs w:val="30"/>
        </w:rPr>
        <w:t>资质的企业对我局的审查意见有异议或需进一步补充说明的，请在公示期内申报，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提供补正材料，</w:t>
      </w:r>
      <w:r>
        <w:rPr>
          <w:rFonts w:hint="eastAsia" w:ascii="仿宋" w:hAnsi="仿宋" w:eastAsia="仿宋"/>
          <w:sz w:val="30"/>
          <w:szCs w:val="30"/>
        </w:rPr>
        <w:t>逾期不予受理。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/>
          <w:sz w:val="30"/>
          <w:szCs w:val="30"/>
        </w:rPr>
        <w:t>需将相关材料带至我局现场审核（时间：公示期内工作日上午9点至下午5点整，地点：平泷路251号西侧裙楼三楼D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37</w:t>
      </w:r>
      <w:r>
        <w:rPr>
          <w:rFonts w:hint="eastAsia" w:ascii="仿宋" w:hAnsi="仿宋" w:eastAsia="仿宋"/>
          <w:sz w:val="30"/>
          <w:szCs w:val="30"/>
        </w:rPr>
        <w:t>号窗口）。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公示期内，其他任何单位及个人如对企业申报资质情况和审查意见有异议的，均可向我局或其他相关部门反映情况。通过电话反映情况的，请留下真实姓名以及联系方式；通过信件反映情况的，若以单位名义请加盖公章，若以个人名义请签署真实姓名并留下联系电话、地址和邮政编码；通过现场反映情况的，请出示身份证明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审核过程中，经查实有弄虚做假行为的不予通过，并根据《建筑业企业资质管理规定》（住房城乡建设部令第22号）第三十五条规定，一年之内不得再次申报。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四、我局地址：苏州市行政审批局，平泷路251号，邮编：</w:t>
      </w:r>
      <w:r>
        <w:rPr>
          <w:rFonts w:ascii="仿宋" w:hAnsi="仿宋" w:eastAsia="仿宋"/>
          <w:sz w:val="30"/>
          <w:szCs w:val="30"/>
        </w:rPr>
        <w:t>215031</w:t>
      </w:r>
      <w:r>
        <w:rPr>
          <w:rFonts w:hint="eastAsia" w:ascii="仿宋" w:hAnsi="仿宋" w:eastAsia="仿宋"/>
          <w:sz w:val="30"/>
          <w:szCs w:val="30"/>
        </w:rPr>
        <w:t>；联系电话：0512-69820291。</w:t>
      </w:r>
    </w:p>
    <w:p>
      <w:pPr>
        <w:ind w:firstLine="63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2023年第一批燃气燃烧器具安装维修企业资质审查意见汇总表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ind w:firstLine="63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苏州市行政审批局</w:t>
      </w:r>
    </w:p>
    <w:p>
      <w:pPr>
        <w:ind w:firstLine="630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2023年第一批燃气燃烧器具安装维修企业资质审查意见汇总表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140"/>
        <w:gridCol w:w="458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586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审查意见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江苏悦享家电子科技有限公司</w:t>
            </w:r>
          </w:p>
        </w:tc>
        <w:tc>
          <w:tcPr>
            <w:tcW w:w="4586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核燃气燃烧器具安装维修设备、工具、仪器的证明材料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核办公场所租赁合同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核人员社保材料</w:t>
            </w:r>
          </w:p>
        </w:tc>
        <w:tc>
          <w:tcPr>
            <w:tcW w:w="1201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ascii="仿宋" w:hAnsi="仿宋" w:eastAsia="仿宋"/>
          <w:sz w:val="30"/>
          <w:szCs w:val="30"/>
        </w:rPr>
      </w:pPr>
    </w:p>
    <w:p>
      <w:pPr>
        <w:jc w:val="both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ЛОМе">
    <w:altName w:val="Arial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San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ЛОМе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MS Sans Serif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ЛОМе">
    <w:altName w:val="Arial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ЛОМе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MS Sans Serif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9015607">
    <w:nsid w:val="61B164B7"/>
    <w:multiLevelType w:val="singleLevel"/>
    <w:tmpl w:val="61B164B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390156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8"/>
    <w:rsid w:val="0000021F"/>
    <w:rsid w:val="0004408E"/>
    <w:rsid w:val="00143681"/>
    <w:rsid w:val="00252400"/>
    <w:rsid w:val="003D1123"/>
    <w:rsid w:val="005B10C4"/>
    <w:rsid w:val="00775696"/>
    <w:rsid w:val="00A3198B"/>
    <w:rsid w:val="00AE53E8"/>
    <w:rsid w:val="00BD7E58"/>
    <w:rsid w:val="00D56C41"/>
    <w:rsid w:val="00E85969"/>
    <w:rsid w:val="00EB6DFD"/>
    <w:rsid w:val="02AA4AEE"/>
    <w:rsid w:val="037C3C36"/>
    <w:rsid w:val="04A92035"/>
    <w:rsid w:val="04E45155"/>
    <w:rsid w:val="05BD3BE6"/>
    <w:rsid w:val="09D54231"/>
    <w:rsid w:val="0AE52092"/>
    <w:rsid w:val="0B621CF4"/>
    <w:rsid w:val="0CC770BB"/>
    <w:rsid w:val="0D3A52D7"/>
    <w:rsid w:val="0F281D1D"/>
    <w:rsid w:val="0FA14846"/>
    <w:rsid w:val="11067A7B"/>
    <w:rsid w:val="11625BD4"/>
    <w:rsid w:val="14216A14"/>
    <w:rsid w:val="1555138F"/>
    <w:rsid w:val="155F3910"/>
    <w:rsid w:val="15875F6A"/>
    <w:rsid w:val="168B44CC"/>
    <w:rsid w:val="16FB2E49"/>
    <w:rsid w:val="1AF6316F"/>
    <w:rsid w:val="1D7403B4"/>
    <w:rsid w:val="1E122892"/>
    <w:rsid w:val="1E4636F1"/>
    <w:rsid w:val="1E8660FA"/>
    <w:rsid w:val="202C1558"/>
    <w:rsid w:val="237F064A"/>
    <w:rsid w:val="243C272A"/>
    <w:rsid w:val="25E41687"/>
    <w:rsid w:val="27D315A9"/>
    <w:rsid w:val="297E1A07"/>
    <w:rsid w:val="29BF5C76"/>
    <w:rsid w:val="29DA5136"/>
    <w:rsid w:val="2A37398F"/>
    <w:rsid w:val="2BF31029"/>
    <w:rsid w:val="2C187F64"/>
    <w:rsid w:val="2CD22C15"/>
    <w:rsid w:val="2E0C1698"/>
    <w:rsid w:val="2E1C77DF"/>
    <w:rsid w:val="2E4C6336"/>
    <w:rsid w:val="2EC01C77"/>
    <w:rsid w:val="2EE9522F"/>
    <w:rsid w:val="2F3D7192"/>
    <w:rsid w:val="2FC40F21"/>
    <w:rsid w:val="319331E3"/>
    <w:rsid w:val="332F4DD5"/>
    <w:rsid w:val="341A770A"/>
    <w:rsid w:val="36A955F2"/>
    <w:rsid w:val="3AE24BAA"/>
    <w:rsid w:val="3CA24CA9"/>
    <w:rsid w:val="3CA43A35"/>
    <w:rsid w:val="4030368A"/>
    <w:rsid w:val="406C5BDB"/>
    <w:rsid w:val="40AE30AC"/>
    <w:rsid w:val="417D37EA"/>
    <w:rsid w:val="418B210C"/>
    <w:rsid w:val="41BC0087"/>
    <w:rsid w:val="425D14FC"/>
    <w:rsid w:val="43167EB0"/>
    <w:rsid w:val="440B052F"/>
    <w:rsid w:val="443E1B98"/>
    <w:rsid w:val="44EE0B22"/>
    <w:rsid w:val="46EF156C"/>
    <w:rsid w:val="49C14CA9"/>
    <w:rsid w:val="4CE65605"/>
    <w:rsid w:val="4D904DA0"/>
    <w:rsid w:val="4ED95C86"/>
    <w:rsid w:val="4EE80403"/>
    <w:rsid w:val="4FC25A72"/>
    <w:rsid w:val="5215410D"/>
    <w:rsid w:val="52810D53"/>
    <w:rsid w:val="54B92D8D"/>
    <w:rsid w:val="55DE3225"/>
    <w:rsid w:val="567870D5"/>
    <w:rsid w:val="58950B3C"/>
    <w:rsid w:val="58CB6509"/>
    <w:rsid w:val="590E1CA3"/>
    <w:rsid w:val="593972FF"/>
    <w:rsid w:val="5CF63398"/>
    <w:rsid w:val="5D3333C4"/>
    <w:rsid w:val="5D8B784E"/>
    <w:rsid w:val="5FFE610C"/>
    <w:rsid w:val="62464748"/>
    <w:rsid w:val="64C113AD"/>
    <w:rsid w:val="699D5472"/>
    <w:rsid w:val="6B3724F2"/>
    <w:rsid w:val="6F58183C"/>
    <w:rsid w:val="6F647176"/>
    <w:rsid w:val="6F9A4CA5"/>
    <w:rsid w:val="702A49DF"/>
    <w:rsid w:val="70D624AE"/>
    <w:rsid w:val="77EA45E5"/>
    <w:rsid w:val="77FB481A"/>
    <w:rsid w:val="7B1F4156"/>
    <w:rsid w:val="7BE2764E"/>
    <w:rsid w:val="7C012101"/>
    <w:rsid w:val="7DB72F3A"/>
    <w:rsid w:val="7E246903"/>
    <w:rsid w:val="7FAE06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Emphasis"/>
    <w:basedOn w:val="4"/>
    <w:qFormat/>
    <w:uiPriority w:val="20"/>
  </w:style>
  <w:style w:type="character" w:styleId="7">
    <w:name w:val="Hyperlink"/>
    <w:basedOn w:val="4"/>
    <w:unhideWhenUsed/>
    <w:qFormat/>
    <w:uiPriority w:val="99"/>
    <w:rPr>
      <w:color w:val="333333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ScaleCrop>false</ScaleCrop>
  <LinksUpToDate>false</LinksUpToDate>
  <CharactersWithSpaces>822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2018-04-09T06:43:00Z</dcterms:created>
  <dc:creator>IT Division</dc:creator>
  <cp:lastModifiedBy>user</cp:lastModifiedBy>
  <cp:lastPrinted>2021-07-28T07:38:00Z</cp:lastPrinted>
  <dcterms:modified xsi:type="dcterms:W3CDTF">2023-02-16T05:57:09Z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